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A46EBA">
        <w:rPr>
          <w:rFonts w:ascii="Palatino Linotype" w:hAnsi="Palatino Linotype" w:cs="Arial"/>
          <w:b/>
          <w:bCs/>
          <w:sz w:val="23"/>
          <w:szCs w:val="23"/>
        </w:rPr>
        <w:t>4294</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FD7AFA" w:rsidRPr="00FD7AFA" w:rsidRDefault="00E6179D">
          <w:pPr>
            <w:pStyle w:val="TDC1"/>
            <w:rPr>
              <w:rFonts w:eastAsiaTheme="minorEastAsia"/>
              <w:b w:val="0"/>
              <w:sz w:val="24"/>
              <w:szCs w:val="24"/>
              <w:lang w:eastAsia="es-MX"/>
            </w:rPr>
          </w:pPr>
          <w:r w:rsidRPr="00FD7AFA">
            <w:rPr>
              <w:sz w:val="24"/>
              <w:szCs w:val="24"/>
            </w:rPr>
            <w:fldChar w:fldCharType="begin"/>
          </w:r>
          <w:r w:rsidRPr="00FD7AFA">
            <w:rPr>
              <w:sz w:val="24"/>
              <w:szCs w:val="24"/>
            </w:rPr>
            <w:instrText xml:space="preserve"> TOC \o "1-3" \h \z \u </w:instrText>
          </w:r>
          <w:r w:rsidRPr="00FD7AFA">
            <w:rPr>
              <w:sz w:val="24"/>
              <w:szCs w:val="24"/>
            </w:rPr>
            <w:fldChar w:fldCharType="separate"/>
          </w:r>
          <w:hyperlink w:anchor="_Toc255139" w:history="1">
            <w:r w:rsidR="00FD7AFA" w:rsidRPr="00FD7AFA">
              <w:rPr>
                <w:rStyle w:val="Hipervnculo"/>
                <w:rFonts w:eastAsia="Times New Roman"/>
                <w:sz w:val="24"/>
                <w:szCs w:val="24"/>
              </w:rPr>
              <w:t>I.</w:t>
            </w:r>
            <w:r w:rsidR="00FD7AFA" w:rsidRPr="00FD7AFA">
              <w:rPr>
                <w:rFonts w:eastAsiaTheme="minorEastAsia"/>
                <w:b w:val="0"/>
                <w:sz w:val="24"/>
                <w:szCs w:val="24"/>
                <w:lang w:eastAsia="es-MX"/>
              </w:rPr>
              <w:tab/>
            </w:r>
            <w:r w:rsidR="00FD7AFA" w:rsidRPr="00FD7AFA">
              <w:rPr>
                <w:rStyle w:val="Hipervnculo"/>
                <w:rFonts w:eastAsia="Times New Roman"/>
                <w:sz w:val="24"/>
                <w:szCs w:val="24"/>
              </w:rPr>
              <w:t>Consideraciones Generales</w:t>
            </w:r>
            <w:r w:rsidR="00FD7AFA" w:rsidRPr="00FD7AFA">
              <w:rPr>
                <w:webHidden/>
                <w:sz w:val="24"/>
                <w:szCs w:val="24"/>
              </w:rPr>
              <w:tab/>
            </w:r>
            <w:r w:rsidR="00FD7AFA" w:rsidRPr="00FD7AFA">
              <w:rPr>
                <w:webHidden/>
                <w:sz w:val="24"/>
                <w:szCs w:val="24"/>
              </w:rPr>
              <w:fldChar w:fldCharType="begin"/>
            </w:r>
            <w:r w:rsidR="00FD7AFA" w:rsidRPr="00FD7AFA">
              <w:rPr>
                <w:webHidden/>
                <w:sz w:val="24"/>
                <w:szCs w:val="24"/>
              </w:rPr>
              <w:instrText xml:space="preserve"> PAGEREF _Toc255139 \h </w:instrText>
            </w:r>
            <w:r w:rsidR="00FD7AFA" w:rsidRPr="00FD7AFA">
              <w:rPr>
                <w:webHidden/>
                <w:sz w:val="24"/>
                <w:szCs w:val="24"/>
              </w:rPr>
            </w:r>
            <w:r w:rsidR="00FD7AFA" w:rsidRPr="00FD7AFA">
              <w:rPr>
                <w:webHidden/>
                <w:sz w:val="24"/>
                <w:szCs w:val="24"/>
              </w:rPr>
              <w:fldChar w:fldCharType="separate"/>
            </w:r>
            <w:r w:rsidR="00FB6DF6">
              <w:rPr>
                <w:webHidden/>
                <w:sz w:val="24"/>
                <w:szCs w:val="24"/>
              </w:rPr>
              <w:t>1</w:t>
            </w:r>
            <w:r w:rsidR="00FD7AFA" w:rsidRPr="00FD7AFA">
              <w:rPr>
                <w:webHidden/>
                <w:sz w:val="24"/>
                <w:szCs w:val="24"/>
              </w:rPr>
              <w:fldChar w:fldCharType="end"/>
            </w:r>
          </w:hyperlink>
        </w:p>
        <w:p w:rsidR="00FD7AFA" w:rsidRPr="00FD7AFA" w:rsidRDefault="00FD7AFA">
          <w:pPr>
            <w:pStyle w:val="TDC1"/>
            <w:rPr>
              <w:rFonts w:eastAsiaTheme="minorEastAsia"/>
              <w:b w:val="0"/>
              <w:sz w:val="24"/>
              <w:szCs w:val="24"/>
              <w:lang w:eastAsia="es-MX"/>
            </w:rPr>
          </w:pPr>
          <w:hyperlink w:anchor="_Toc255140" w:history="1">
            <w:r w:rsidRPr="00FD7AFA">
              <w:rPr>
                <w:rStyle w:val="Hipervnculo"/>
                <w:rFonts w:eastAsia="Calibri"/>
                <w:sz w:val="24"/>
                <w:szCs w:val="24"/>
                <w:lang w:val="es-ES"/>
              </w:rPr>
              <w:t>II.</w:t>
            </w:r>
            <w:r w:rsidRPr="00FD7AFA">
              <w:rPr>
                <w:rFonts w:eastAsiaTheme="minorEastAsia"/>
                <w:b w:val="0"/>
                <w:sz w:val="24"/>
                <w:szCs w:val="24"/>
                <w:lang w:eastAsia="es-MX"/>
              </w:rPr>
              <w:tab/>
            </w:r>
            <w:r w:rsidRPr="00FD7AFA">
              <w:rPr>
                <w:rStyle w:val="Hipervnculo"/>
                <w:rFonts w:eastAsia="Calibri"/>
                <w:sz w:val="24"/>
                <w:szCs w:val="24"/>
                <w:lang w:val="es-ES"/>
              </w:rPr>
              <w:t>De los requerimientos planteados en el recurso de revisión.</w:t>
            </w:r>
            <w:r w:rsidRPr="00FD7AFA">
              <w:rPr>
                <w:webHidden/>
                <w:sz w:val="24"/>
                <w:szCs w:val="24"/>
              </w:rPr>
              <w:tab/>
            </w:r>
            <w:r w:rsidRPr="00FD7AFA">
              <w:rPr>
                <w:webHidden/>
                <w:sz w:val="24"/>
                <w:szCs w:val="24"/>
              </w:rPr>
              <w:fldChar w:fldCharType="begin"/>
            </w:r>
            <w:r w:rsidRPr="00FD7AFA">
              <w:rPr>
                <w:webHidden/>
                <w:sz w:val="24"/>
                <w:szCs w:val="24"/>
              </w:rPr>
              <w:instrText xml:space="preserve"> PAGEREF _Toc255140 \h </w:instrText>
            </w:r>
            <w:r w:rsidRPr="00FD7AFA">
              <w:rPr>
                <w:webHidden/>
                <w:sz w:val="24"/>
                <w:szCs w:val="24"/>
              </w:rPr>
            </w:r>
            <w:r w:rsidRPr="00FD7AFA">
              <w:rPr>
                <w:webHidden/>
                <w:sz w:val="24"/>
                <w:szCs w:val="24"/>
              </w:rPr>
              <w:fldChar w:fldCharType="separate"/>
            </w:r>
            <w:r w:rsidR="00FB6DF6">
              <w:rPr>
                <w:webHidden/>
                <w:sz w:val="24"/>
                <w:szCs w:val="24"/>
              </w:rPr>
              <w:t>2</w:t>
            </w:r>
            <w:r w:rsidRPr="00FD7AFA">
              <w:rPr>
                <w:webHidden/>
                <w:sz w:val="24"/>
                <w:szCs w:val="24"/>
              </w:rPr>
              <w:fldChar w:fldCharType="end"/>
            </w:r>
          </w:hyperlink>
        </w:p>
        <w:p w:rsidR="00FD7AFA" w:rsidRPr="00FD7AFA" w:rsidRDefault="00FD7AFA">
          <w:pPr>
            <w:pStyle w:val="TDC2"/>
            <w:rPr>
              <w:rFonts w:eastAsiaTheme="minorEastAsia"/>
              <w:b w:val="0"/>
              <w:lang w:eastAsia="es-MX"/>
            </w:rPr>
          </w:pPr>
          <w:hyperlink w:anchor="_Toc255141" w:history="1">
            <w:r w:rsidRPr="00FD7AFA">
              <w:rPr>
                <w:rStyle w:val="Hipervnculo"/>
              </w:rPr>
              <w:t>III. Del Derecho de Acceso a la información pública y el deber de motivar.</w:t>
            </w:r>
            <w:r w:rsidRPr="00FD7AFA">
              <w:rPr>
                <w:webHidden/>
              </w:rPr>
              <w:tab/>
            </w:r>
            <w:r w:rsidRPr="00FD7AFA">
              <w:rPr>
                <w:webHidden/>
              </w:rPr>
              <w:fldChar w:fldCharType="begin"/>
            </w:r>
            <w:r w:rsidRPr="00FD7AFA">
              <w:rPr>
                <w:webHidden/>
              </w:rPr>
              <w:instrText xml:space="preserve"> PAGEREF _Toc255141 \h </w:instrText>
            </w:r>
            <w:r w:rsidRPr="00FD7AFA">
              <w:rPr>
                <w:webHidden/>
              </w:rPr>
            </w:r>
            <w:r w:rsidRPr="00FD7AFA">
              <w:rPr>
                <w:webHidden/>
              </w:rPr>
              <w:fldChar w:fldCharType="separate"/>
            </w:r>
            <w:r w:rsidR="00FB6DF6">
              <w:rPr>
                <w:webHidden/>
              </w:rPr>
              <w:t>5</w:t>
            </w:r>
            <w:r w:rsidRPr="00FD7AFA">
              <w:rPr>
                <w:webHidden/>
              </w:rPr>
              <w:fldChar w:fldCharType="end"/>
            </w:r>
          </w:hyperlink>
        </w:p>
        <w:p w:rsidR="00FD7AFA" w:rsidRPr="00FD7AFA" w:rsidRDefault="00FD7AFA" w:rsidP="00FD7AFA">
          <w:pPr>
            <w:pStyle w:val="TDC1"/>
            <w:rPr>
              <w:rFonts w:eastAsiaTheme="minorEastAsia"/>
              <w:b w:val="0"/>
              <w:sz w:val="24"/>
              <w:szCs w:val="24"/>
              <w:lang w:eastAsia="es-MX"/>
            </w:rPr>
          </w:pPr>
          <w:hyperlink w:anchor="_Toc255142" w:history="1">
            <w:r w:rsidRPr="00FD7AFA">
              <w:rPr>
                <w:rStyle w:val="Hipervnculo"/>
                <w:rFonts w:eastAsia="Calibri"/>
                <w:sz w:val="24"/>
                <w:szCs w:val="24"/>
              </w:rPr>
              <w:t>IV. Del Pronunciamiento simple</w:t>
            </w:r>
            <w:r w:rsidRPr="00FD7AFA">
              <w:rPr>
                <w:webHidden/>
                <w:sz w:val="24"/>
                <w:szCs w:val="24"/>
              </w:rPr>
              <w:tab/>
            </w:r>
            <w:r w:rsidRPr="00FD7AFA">
              <w:rPr>
                <w:webHidden/>
                <w:sz w:val="24"/>
                <w:szCs w:val="24"/>
              </w:rPr>
              <w:fldChar w:fldCharType="begin"/>
            </w:r>
            <w:r w:rsidRPr="00FD7AFA">
              <w:rPr>
                <w:webHidden/>
                <w:sz w:val="24"/>
                <w:szCs w:val="24"/>
              </w:rPr>
              <w:instrText xml:space="preserve"> PAGEREF _Toc255142 \h </w:instrText>
            </w:r>
            <w:r w:rsidRPr="00FD7AFA">
              <w:rPr>
                <w:webHidden/>
                <w:sz w:val="24"/>
                <w:szCs w:val="24"/>
              </w:rPr>
            </w:r>
            <w:r w:rsidRPr="00FD7AFA">
              <w:rPr>
                <w:webHidden/>
                <w:sz w:val="24"/>
                <w:szCs w:val="24"/>
              </w:rPr>
              <w:fldChar w:fldCharType="separate"/>
            </w:r>
            <w:r w:rsidR="00FB6DF6">
              <w:rPr>
                <w:webHidden/>
                <w:sz w:val="24"/>
                <w:szCs w:val="24"/>
              </w:rPr>
              <w:t>11</w:t>
            </w:r>
            <w:r w:rsidRPr="00FD7AFA">
              <w:rPr>
                <w:webHidden/>
                <w:sz w:val="24"/>
                <w:szCs w:val="24"/>
              </w:rPr>
              <w:fldChar w:fldCharType="end"/>
            </w:r>
          </w:hyperlink>
        </w:p>
        <w:p w:rsidR="00FD7AFA" w:rsidRPr="00FD7AFA" w:rsidRDefault="00FD7AFA">
          <w:pPr>
            <w:pStyle w:val="TDC1"/>
            <w:rPr>
              <w:rFonts w:eastAsiaTheme="minorEastAsia"/>
              <w:b w:val="0"/>
              <w:sz w:val="24"/>
              <w:szCs w:val="24"/>
              <w:lang w:eastAsia="es-MX"/>
            </w:rPr>
          </w:pPr>
          <w:hyperlink w:anchor="_Toc255144" w:history="1">
            <w:r w:rsidRPr="00FD7AFA">
              <w:rPr>
                <w:rStyle w:val="Hipervnculo"/>
                <w:rFonts w:eastAsia="Calibri"/>
                <w:sz w:val="24"/>
                <w:szCs w:val="24"/>
              </w:rPr>
              <w:t>V. Conclusión.</w:t>
            </w:r>
            <w:r w:rsidRPr="00FD7AFA">
              <w:rPr>
                <w:webHidden/>
                <w:sz w:val="24"/>
                <w:szCs w:val="24"/>
              </w:rPr>
              <w:tab/>
            </w:r>
            <w:r w:rsidRPr="00FD7AFA">
              <w:rPr>
                <w:webHidden/>
                <w:sz w:val="24"/>
                <w:szCs w:val="24"/>
              </w:rPr>
              <w:fldChar w:fldCharType="begin"/>
            </w:r>
            <w:r w:rsidRPr="00FD7AFA">
              <w:rPr>
                <w:webHidden/>
                <w:sz w:val="24"/>
                <w:szCs w:val="24"/>
              </w:rPr>
              <w:instrText xml:space="preserve"> PAGEREF _Toc255144 \h </w:instrText>
            </w:r>
            <w:r w:rsidRPr="00FD7AFA">
              <w:rPr>
                <w:webHidden/>
                <w:sz w:val="24"/>
                <w:szCs w:val="24"/>
              </w:rPr>
            </w:r>
            <w:r w:rsidRPr="00FD7AFA">
              <w:rPr>
                <w:webHidden/>
                <w:sz w:val="24"/>
                <w:szCs w:val="24"/>
              </w:rPr>
              <w:fldChar w:fldCharType="separate"/>
            </w:r>
            <w:r w:rsidR="00FB6DF6">
              <w:rPr>
                <w:webHidden/>
                <w:sz w:val="24"/>
                <w:szCs w:val="24"/>
              </w:rPr>
              <w:t>29</w:t>
            </w:r>
            <w:r w:rsidRPr="00FD7AFA">
              <w:rPr>
                <w:webHidden/>
                <w:sz w:val="24"/>
                <w:szCs w:val="24"/>
              </w:rPr>
              <w:fldChar w:fldCharType="end"/>
            </w:r>
          </w:hyperlink>
        </w:p>
        <w:p w:rsidR="00E6179D" w:rsidRPr="00D11834" w:rsidRDefault="00E6179D" w:rsidP="00B73B30">
          <w:pPr>
            <w:spacing w:line="360" w:lineRule="auto"/>
            <w:rPr>
              <w:rFonts w:ascii="Palatino Linotype" w:hAnsi="Palatino Linotype"/>
              <w:b/>
              <w:sz w:val="24"/>
              <w:szCs w:val="24"/>
            </w:rPr>
          </w:pPr>
          <w:r w:rsidRPr="00FD7AFA">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255139"/>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37ED5">
        <w:rPr>
          <w:rFonts w:ascii="Palatino Linotype" w:eastAsia="Calibri" w:hAnsi="Palatino Linotype" w:cs="Arial"/>
          <w:sz w:val="24"/>
          <w:szCs w:val="24"/>
        </w:rPr>
        <w:t>Cuarta</w:t>
      </w:r>
      <w:r w:rsidR="00F44EAA">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w:t>
      </w:r>
      <w:r w:rsidRPr="00F44EAA">
        <w:rPr>
          <w:rFonts w:ascii="Palatino Linotype" w:eastAsia="Calibri" w:hAnsi="Palatino Linotype" w:cs="Arial"/>
          <w:sz w:val="24"/>
          <w:szCs w:val="24"/>
        </w:rPr>
        <w:t xml:space="preserve">día </w:t>
      </w:r>
      <w:r w:rsidR="00D37ED5">
        <w:rPr>
          <w:rFonts w:ascii="Palatino Linotype" w:eastAsia="Calibri" w:hAnsi="Palatino Linotype" w:cs="Arial"/>
          <w:sz w:val="24"/>
          <w:szCs w:val="24"/>
        </w:rPr>
        <w:t>treinta</w:t>
      </w:r>
      <w:r w:rsidRPr="00F44EAA">
        <w:rPr>
          <w:rFonts w:ascii="Palatino Linotype" w:eastAsia="Calibri" w:hAnsi="Palatino Linotype" w:cs="Arial"/>
          <w:sz w:val="24"/>
          <w:szCs w:val="24"/>
        </w:rPr>
        <w:t xml:space="preserve"> (</w:t>
      </w:r>
      <w:r w:rsidR="00D37ED5">
        <w:rPr>
          <w:rFonts w:ascii="Palatino Linotype" w:eastAsia="Calibri" w:hAnsi="Palatino Linotype" w:cs="Arial"/>
          <w:sz w:val="24"/>
          <w:szCs w:val="24"/>
        </w:rPr>
        <w:t>30</w:t>
      </w:r>
      <w:r w:rsidRPr="00F44EAA">
        <w:rPr>
          <w:rFonts w:ascii="Palatino Linotype" w:eastAsia="Calibri" w:hAnsi="Palatino Linotype" w:cs="Arial"/>
          <w:sz w:val="24"/>
          <w:szCs w:val="24"/>
        </w:rPr>
        <w:t xml:space="preserve">) de </w:t>
      </w:r>
      <w:r w:rsidR="00F44EAA" w:rsidRPr="00F44EAA">
        <w:rPr>
          <w:rFonts w:ascii="Palatino Linotype" w:eastAsia="Calibri" w:hAnsi="Palatino Linotype" w:cs="Arial"/>
          <w:sz w:val="24"/>
          <w:szCs w:val="24"/>
        </w:rPr>
        <w:t>enero</w:t>
      </w:r>
      <w:r w:rsidR="008825D2" w:rsidRPr="00F44EAA">
        <w:rPr>
          <w:rFonts w:ascii="Palatino Linotype" w:eastAsia="Calibri" w:hAnsi="Palatino Linotype" w:cs="Arial"/>
          <w:sz w:val="24"/>
          <w:szCs w:val="24"/>
        </w:rPr>
        <w:t xml:space="preserve"> </w:t>
      </w:r>
      <w:r w:rsidRPr="00F44EAA">
        <w:rPr>
          <w:rFonts w:ascii="Palatino Linotype" w:eastAsia="Calibri" w:hAnsi="Palatino Linotype" w:cs="Arial"/>
          <w:sz w:val="24"/>
          <w:szCs w:val="24"/>
        </w:rPr>
        <w:t>de</w:t>
      </w:r>
      <w:r w:rsidR="001F0E58" w:rsidRPr="00F44EAA">
        <w:rPr>
          <w:rFonts w:ascii="Palatino Linotype" w:eastAsia="Calibri" w:hAnsi="Palatino Linotype" w:cs="Arial"/>
          <w:sz w:val="24"/>
          <w:szCs w:val="24"/>
        </w:rPr>
        <w:t>l</w:t>
      </w:r>
      <w:r w:rsidRPr="00F44EAA">
        <w:rPr>
          <w:rFonts w:ascii="Palatino Linotype" w:eastAsia="Calibri" w:hAnsi="Palatino Linotype" w:cs="Arial"/>
          <w:sz w:val="24"/>
          <w:szCs w:val="24"/>
        </w:rPr>
        <w:t xml:space="preserve"> </w:t>
      </w:r>
      <w:r w:rsidR="001F0E58" w:rsidRPr="00F44EAA">
        <w:rPr>
          <w:rFonts w:ascii="Palatino Linotype" w:eastAsia="Calibri" w:hAnsi="Palatino Linotype" w:cs="Arial"/>
          <w:sz w:val="24"/>
          <w:szCs w:val="24"/>
        </w:rPr>
        <w:t xml:space="preserve">dos mil </w:t>
      </w:r>
      <w:r w:rsidR="00F44EAA" w:rsidRPr="00F44EAA">
        <w:rPr>
          <w:rFonts w:ascii="Palatino Linotype" w:eastAsia="Calibri" w:hAnsi="Palatino Linotype" w:cs="Arial"/>
          <w:sz w:val="24"/>
          <w:szCs w:val="24"/>
        </w:rPr>
        <w:t>diecinueve</w:t>
      </w:r>
      <w:r w:rsidRPr="00427B79">
        <w:rPr>
          <w:rFonts w:ascii="Palatino Linotype" w:eastAsia="Calibri" w:hAnsi="Palatino Linotype" w:cs="Arial"/>
          <w:sz w:val="24"/>
          <w:szCs w:val="24"/>
        </w:rPr>
        <w:t xml:space="preserve">, en el </w:t>
      </w:r>
      <w:r w:rsidR="005B2060">
        <w:rPr>
          <w:rFonts w:ascii="Palatino Linotype" w:eastAsia="Calibri" w:hAnsi="Palatino Linotype" w:cs="Arial"/>
          <w:sz w:val="24"/>
          <w:szCs w:val="24"/>
        </w:rPr>
        <w:t xml:space="preserve">recurso </w:t>
      </w:r>
      <w:r w:rsidRPr="00427B79">
        <w:rPr>
          <w:rFonts w:ascii="Palatino Linotype" w:eastAsia="Calibri" w:hAnsi="Palatino Linotype" w:cs="Arial"/>
          <w:sz w:val="24"/>
          <w:szCs w:val="24"/>
        </w:rPr>
        <w:t>de</w:t>
      </w:r>
      <w:r w:rsidR="00D1183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revisión </w:t>
      </w:r>
      <w:r w:rsidRPr="00427B79">
        <w:rPr>
          <w:rFonts w:ascii="Palatino Linotype" w:eastAsia="Calibri" w:hAnsi="Palatino Linotype" w:cs="Arial"/>
          <w:sz w:val="24"/>
          <w:szCs w:val="24"/>
        </w:rPr>
        <w:lastRenderedPageBreak/>
        <w:t xml:space="preserve">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436541" w:rsidRPr="00436541">
        <w:rPr>
          <w:rFonts w:ascii="Palatino Linotype" w:hAnsi="Palatino Linotype" w:cs="Arial"/>
          <w:b/>
        </w:rPr>
        <w:t xml:space="preserve"> </w:t>
      </w:r>
      <w:r w:rsidR="00F44EAA" w:rsidRPr="00F44EAA">
        <w:rPr>
          <w:rFonts w:ascii="Palatino Linotype" w:hAnsi="Palatino Linotype" w:cs="Arial"/>
        </w:rPr>
        <w:t>el particular</w:t>
      </w:r>
      <w:r w:rsidR="00F44EAA" w:rsidRPr="00F44EAA">
        <w:rPr>
          <w:rFonts w:ascii="Palatino Linotype" w:hAnsi="Palatino Linotype" w:cs="Arial"/>
          <w:b/>
        </w:rPr>
        <w:t>,</w:t>
      </w:r>
      <w:r w:rsidR="00436541">
        <w:rPr>
          <w:rFonts w:ascii="Palatino Linotype" w:hAnsi="Palatino Linotype"/>
          <w:b/>
          <w:lang w:val="es-ES_tradnl"/>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w:t>
      </w:r>
      <w:r w:rsidR="0036141D" w:rsidRPr="00D37ED5">
        <w:rPr>
          <w:rFonts w:ascii="Palatino Linotype" w:eastAsia="Calibri" w:hAnsi="Palatino Linotype" w:cs="Arial"/>
          <w:sz w:val="24"/>
          <w:szCs w:val="24"/>
        </w:rPr>
        <w:t>de</w:t>
      </w:r>
      <w:r w:rsidR="00A46EBA">
        <w:rPr>
          <w:rFonts w:ascii="Palatino Linotype" w:eastAsia="Calibri" w:hAnsi="Palatino Linotype" w:cs="Arial"/>
          <w:sz w:val="24"/>
          <w:szCs w:val="24"/>
        </w:rPr>
        <w:t>l</w:t>
      </w:r>
      <w:r w:rsidR="00A46EBA" w:rsidRPr="00A46EBA">
        <w:rPr>
          <w:rFonts w:ascii="Palatino Linotype" w:eastAsiaTheme="minorEastAsia" w:hAnsi="Palatino Linotype" w:cs="Arial"/>
          <w:b/>
        </w:rPr>
        <w:t xml:space="preserve"> </w:t>
      </w:r>
      <w:r w:rsidR="00A46EBA">
        <w:rPr>
          <w:rFonts w:ascii="Palatino Linotype" w:eastAsiaTheme="minorEastAsia" w:hAnsi="Palatino Linotype" w:cs="Arial"/>
          <w:b/>
        </w:rPr>
        <w:t>Ayuntamiento de Rayón</w:t>
      </w:r>
      <w:r w:rsidR="00F92E97">
        <w:rPr>
          <w:rFonts w:ascii="Palatino Linotype" w:hAnsi="Palatino Linotype" w:cs="Arial"/>
          <w:b/>
          <w:sz w:val="24"/>
          <w:szCs w:val="24"/>
        </w:rPr>
        <w:t xml:space="preserve">, </w:t>
      </w:r>
      <w:r w:rsidR="00F92E97"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sidRPr="00F44EAA">
        <w:rPr>
          <w:rFonts w:ascii="Palatino Linotype" w:hAnsi="Palatino Linotype" w:cs="Arial"/>
          <w:b/>
          <w:bCs/>
          <w:sz w:val="23"/>
          <w:szCs w:val="23"/>
        </w:rPr>
        <w:t>0</w:t>
      </w:r>
      <w:r w:rsidR="008B04BB">
        <w:rPr>
          <w:rFonts w:ascii="Palatino Linotype" w:hAnsi="Palatino Linotype" w:cs="Arial"/>
          <w:b/>
          <w:bCs/>
          <w:sz w:val="23"/>
          <w:szCs w:val="23"/>
        </w:rPr>
        <w:t>4</w:t>
      </w:r>
      <w:r w:rsidR="00A46EBA">
        <w:rPr>
          <w:rFonts w:ascii="Palatino Linotype" w:hAnsi="Palatino Linotype" w:cs="Arial"/>
          <w:b/>
          <w:bCs/>
          <w:sz w:val="23"/>
          <w:szCs w:val="23"/>
        </w:rPr>
        <w:t>294</w:t>
      </w:r>
      <w:r w:rsidR="00EF3EA6" w:rsidRPr="00F44EAA">
        <w:rPr>
          <w:rFonts w:ascii="Palatino Linotype" w:hAnsi="Palatino Linotype" w:cs="Arial"/>
          <w:b/>
          <w:bCs/>
          <w:sz w:val="23"/>
          <w:szCs w:val="23"/>
        </w:rPr>
        <w:t>/INFOEM/IP/RR/2018</w:t>
      </w:r>
      <w:r w:rsidR="00D37ED5">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A46EBA">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255140"/>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F333C8" w:rsidRDefault="00E6179D" w:rsidP="00F333C8">
      <w:pPr>
        <w:autoSpaceDE w:val="0"/>
        <w:autoSpaceDN w:val="0"/>
        <w:adjustRightInd w:val="0"/>
        <w:spacing w:line="360" w:lineRule="auto"/>
        <w:ind w:left="851" w:right="900"/>
        <w:jc w:val="both"/>
        <w:rPr>
          <w:rFonts w:ascii="Palatino Linotype" w:hAnsi="Palatino Linotype" w:cs="Arial"/>
          <w:i/>
          <w:sz w:val="24"/>
          <w:szCs w:val="24"/>
          <w:lang w:eastAsia="es-MX"/>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d de información dirigida hacia</w:t>
      </w:r>
      <w:r w:rsidR="00A46EBA">
        <w:rPr>
          <w:rFonts w:ascii="Palatino Linotype" w:eastAsia="Calibri" w:hAnsi="Palatino Linotype" w:cs="Times New Roman"/>
          <w:sz w:val="24"/>
          <w:szCs w:val="24"/>
        </w:rPr>
        <w:t xml:space="preserve"> el</w:t>
      </w:r>
      <w:r w:rsidR="00A46EBA" w:rsidRPr="00A46EBA">
        <w:rPr>
          <w:rFonts w:ascii="Palatino Linotype" w:eastAsiaTheme="minorEastAsia" w:hAnsi="Palatino Linotype" w:cs="Arial"/>
          <w:b/>
        </w:rPr>
        <w:t xml:space="preserve"> </w:t>
      </w:r>
      <w:r w:rsidR="00A46EBA">
        <w:rPr>
          <w:rFonts w:ascii="Palatino Linotype" w:eastAsiaTheme="minorEastAsia" w:hAnsi="Palatino Linotype" w:cs="Arial"/>
          <w:b/>
        </w:rPr>
        <w:t>Ayuntamiento de Rayón</w:t>
      </w:r>
      <w:r w:rsidR="00436541" w:rsidRPr="00D93A70">
        <w:rPr>
          <w:rFonts w:ascii="Palatino Linotype" w:hAnsi="Palatino Linotype" w:cs="Arial"/>
          <w:b/>
          <w:sz w:val="24"/>
          <w:szCs w:val="24"/>
        </w:rPr>
        <w:t>,</w:t>
      </w:r>
      <w:r w:rsidR="00C752C4" w:rsidRPr="00D93A70">
        <w:rPr>
          <w:rFonts w:ascii="Palatino Linotype" w:hAnsi="Palatino Linotype" w:cs="Arial"/>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821BFF" w:rsidRPr="00D93A70">
        <w:rPr>
          <w:rFonts w:ascii="Palatino Linotype" w:hAnsi="Palatino Linotype" w:cs="Arial"/>
          <w:i/>
          <w:sz w:val="24"/>
          <w:szCs w:val="24"/>
          <w:lang w:eastAsia="es-MX"/>
        </w:rPr>
        <w:t xml:space="preserve"> </w:t>
      </w:r>
    </w:p>
    <w:p w:rsidR="00A46EBA" w:rsidRPr="006D64F9" w:rsidRDefault="00A46EBA" w:rsidP="00A46EBA">
      <w:pPr>
        <w:spacing w:before="240" w:after="240" w:line="360" w:lineRule="auto"/>
        <w:ind w:left="851" w:right="902"/>
        <w:jc w:val="both"/>
        <w:rPr>
          <w:rFonts w:ascii="Palatino Linotype" w:hAnsi="Palatino Linotype" w:cs="Arial"/>
          <w:b/>
          <w:i/>
        </w:rPr>
      </w:pPr>
      <w:r w:rsidRPr="005D4860">
        <w:rPr>
          <w:rFonts w:ascii="Palatino Linotype" w:eastAsiaTheme="minorEastAsia" w:hAnsi="Palatino Linotype" w:cs="Arial"/>
          <w:i/>
        </w:rPr>
        <w:t>“</w:t>
      </w:r>
      <w:r w:rsidRPr="005D4860">
        <w:rPr>
          <w:rFonts w:ascii="Palatino Linotype" w:hAnsi="Palatino Linotype"/>
          <w:i/>
          <w:color w:val="000000"/>
        </w:rPr>
        <w:t xml:space="preserve">solicito la información referente a la </w:t>
      </w:r>
      <w:proofErr w:type="spellStart"/>
      <w:r w:rsidRPr="005D4860">
        <w:rPr>
          <w:rFonts w:ascii="Palatino Linotype" w:hAnsi="Palatino Linotype"/>
          <w:i/>
          <w:color w:val="000000"/>
        </w:rPr>
        <w:t>nomina</w:t>
      </w:r>
      <w:proofErr w:type="spellEnd"/>
      <w:r w:rsidRPr="005D4860">
        <w:rPr>
          <w:rFonts w:ascii="Palatino Linotype" w:hAnsi="Palatino Linotype"/>
          <w:i/>
          <w:color w:val="000000"/>
        </w:rPr>
        <w:t xml:space="preserve"> del personal del mes de julio y agosto del presente año, considerando trabajadores sindicalizados, de base, eventuales y por servicios, así como copia de las convocatorias y/o procesos de licitación de obra pública de la presente administración, con los dictámenes y consideraciones por las que se concedió la obra a cada una de las empresas que están realizando los trabajos en este municipio, así como el </w:t>
      </w:r>
      <w:proofErr w:type="spellStart"/>
      <w:r w:rsidRPr="005D4860">
        <w:rPr>
          <w:rFonts w:ascii="Palatino Linotype" w:hAnsi="Palatino Linotype"/>
          <w:i/>
          <w:color w:val="000000"/>
        </w:rPr>
        <w:t>numero</w:t>
      </w:r>
      <w:proofErr w:type="spellEnd"/>
      <w:r w:rsidRPr="005D4860">
        <w:rPr>
          <w:rFonts w:ascii="Palatino Linotype" w:hAnsi="Palatino Linotype"/>
          <w:i/>
          <w:color w:val="000000"/>
        </w:rPr>
        <w:t xml:space="preserve"> total de participantes de cada licitación y los parámetros considerados para su descarte. </w:t>
      </w:r>
      <w:proofErr w:type="gramStart"/>
      <w:r w:rsidRPr="005D4860">
        <w:rPr>
          <w:rFonts w:ascii="Palatino Linotype" w:hAnsi="Palatino Linotype"/>
          <w:i/>
          <w:color w:val="000000"/>
        </w:rPr>
        <w:t>también</w:t>
      </w:r>
      <w:proofErr w:type="gramEnd"/>
      <w:r w:rsidRPr="005D4860">
        <w:rPr>
          <w:rFonts w:ascii="Palatino Linotype" w:hAnsi="Palatino Linotype"/>
          <w:i/>
          <w:color w:val="000000"/>
        </w:rPr>
        <w:t xml:space="preserve"> solicito copia digital de las actas del </w:t>
      </w:r>
      <w:proofErr w:type="spellStart"/>
      <w:r w:rsidRPr="005D4860">
        <w:rPr>
          <w:rFonts w:ascii="Palatino Linotype" w:hAnsi="Palatino Linotype"/>
          <w:i/>
          <w:color w:val="000000"/>
        </w:rPr>
        <w:t>coplademun</w:t>
      </w:r>
      <w:proofErr w:type="spellEnd"/>
      <w:r w:rsidRPr="005D4860">
        <w:rPr>
          <w:rFonts w:ascii="Palatino Linotype" w:hAnsi="Palatino Linotype"/>
          <w:i/>
          <w:color w:val="000000"/>
        </w:rPr>
        <w:t xml:space="preserve">, así como los integrantes del mismo y si se han presentado cambios dentro del mismo, las causas de estos cambios y documentos que lo avalen. </w:t>
      </w:r>
      <w:proofErr w:type="gramStart"/>
      <w:r w:rsidRPr="005D4860">
        <w:rPr>
          <w:rFonts w:ascii="Palatino Linotype" w:hAnsi="Palatino Linotype"/>
          <w:i/>
          <w:color w:val="000000"/>
        </w:rPr>
        <w:t>así</w:t>
      </w:r>
      <w:proofErr w:type="gramEnd"/>
      <w:r w:rsidRPr="005D4860">
        <w:rPr>
          <w:rFonts w:ascii="Palatino Linotype" w:hAnsi="Palatino Linotype"/>
          <w:i/>
          <w:color w:val="000000"/>
        </w:rPr>
        <w:t xml:space="preserve"> como un resumen de cada uno de los asuntos avalados por el mismo.</w:t>
      </w:r>
      <w:r w:rsidRPr="005D4860">
        <w:rPr>
          <w:rFonts w:ascii="Palatino Linotype" w:hAnsi="Palatino Linotype" w:cs="Arial"/>
          <w:i/>
        </w:rPr>
        <w:t>”</w:t>
      </w:r>
      <w:r w:rsidRPr="00211018">
        <w:rPr>
          <w:rFonts w:ascii="Palatino Linotype" w:hAnsi="Palatino Linotype" w:cs="Arial"/>
          <w:i/>
        </w:rPr>
        <w:t>(</w:t>
      </w:r>
      <w:proofErr w:type="gramStart"/>
      <w:r w:rsidRPr="006D64F9">
        <w:rPr>
          <w:rFonts w:ascii="Palatino Linotype" w:hAnsi="Palatino Linotype" w:cs="Arial"/>
          <w:i/>
        </w:rPr>
        <w:t>sic</w:t>
      </w:r>
      <w:proofErr w:type="gramEnd"/>
      <w:r w:rsidRPr="006D64F9">
        <w:rPr>
          <w:rFonts w:ascii="Palatino Linotype" w:hAnsi="Palatino Linotype" w:cs="Arial"/>
          <w:i/>
        </w:rPr>
        <w:t>)</w:t>
      </w:r>
    </w:p>
    <w:p w:rsidR="00F333C8" w:rsidRDefault="00F333C8" w:rsidP="00F333C8">
      <w:pPr>
        <w:autoSpaceDE w:val="0"/>
        <w:autoSpaceDN w:val="0"/>
        <w:adjustRightInd w:val="0"/>
        <w:spacing w:line="360" w:lineRule="auto"/>
        <w:ind w:left="851" w:right="900"/>
        <w:jc w:val="both"/>
        <w:rPr>
          <w:rFonts w:ascii="Palatino Linotype" w:hAnsi="Palatino Linotype" w:cs="Arial"/>
          <w:i/>
          <w:sz w:val="24"/>
          <w:szCs w:val="24"/>
          <w:lang w:eastAsia="es-MX"/>
        </w:rPr>
      </w:pPr>
    </w:p>
    <w:p w:rsidR="000E4D6E" w:rsidRPr="002B6741" w:rsidRDefault="00E6179D" w:rsidP="00672D4A">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E0648" w:rsidRPr="002B6741">
        <w:rPr>
          <w:rFonts w:ascii="Palatino Linotype" w:eastAsia="Calibri" w:hAnsi="Palatino Linotype" w:cs="Arial"/>
          <w:sz w:val="24"/>
          <w:szCs w:val="24"/>
        </w:rPr>
        <w:t>ente obligacional por parte de</w:t>
      </w:r>
      <w:r w:rsidR="00A46EBA">
        <w:rPr>
          <w:rFonts w:ascii="Palatino Linotype" w:eastAsia="Calibri" w:hAnsi="Palatino Linotype" w:cs="Arial"/>
          <w:sz w:val="24"/>
          <w:szCs w:val="24"/>
        </w:rPr>
        <w:t>l</w:t>
      </w:r>
      <w:r w:rsidR="00A46EBA" w:rsidRPr="00A46EBA">
        <w:rPr>
          <w:rFonts w:ascii="Palatino Linotype" w:eastAsiaTheme="minorEastAsia" w:hAnsi="Palatino Linotype" w:cs="Arial"/>
          <w:b/>
        </w:rPr>
        <w:t xml:space="preserve"> </w:t>
      </w:r>
      <w:r w:rsidR="00A46EBA">
        <w:rPr>
          <w:rFonts w:ascii="Palatino Linotype" w:eastAsiaTheme="minorEastAsia" w:hAnsi="Palatino Linotype" w:cs="Arial"/>
          <w:b/>
        </w:rPr>
        <w:t xml:space="preserve">Ayuntamiento de Rayón,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D93A70">
      <w:pPr>
        <w:pStyle w:val="Prrafodelista"/>
        <w:spacing w:line="360" w:lineRule="auto"/>
        <w:ind w:left="0" w:right="49"/>
        <w:jc w:val="both"/>
        <w:rPr>
          <w:rFonts w:ascii="Palatino Linotype" w:eastAsia="Calibri" w:hAnsi="Palatino Linotype" w:cs="Arial"/>
          <w:sz w:val="24"/>
          <w:szCs w:val="24"/>
        </w:rPr>
      </w:pPr>
    </w:p>
    <w:p w:rsidR="00A43A7A" w:rsidRPr="00B259AE"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31AE8">
        <w:rPr>
          <w:rFonts w:ascii="Palatino Linotype" w:hAnsi="Palatino Linotype" w:cs="Arial"/>
          <w:b/>
          <w:sz w:val="24"/>
          <w:szCs w:val="24"/>
        </w:rPr>
        <w:t xml:space="preserve"> a</w:t>
      </w:r>
      <w:r w:rsidR="00A46EBA">
        <w:rPr>
          <w:rFonts w:ascii="Palatino Linotype" w:hAnsi="Palatino Linotype" w:cs="Arial"/>
          <w:b/>
          <w:sz w:val="24"/>
          <w:szCs w:val="24"/>
        </w:rPr>
        <w:t>l</w:t>
      </w:r>
      <w:r w:rsidR="00A46EBA" w:rsidRPr="00A46EBA">
        <w:rPr>
          <w:rFonts w:ascii="Palatino Linotype" w:eastAsiaTheme="minorEastAsia" w:hAnsi="Palatino Linotype" w:cs="Arial"/>
          <w:b/>
        </w:rPr>
        <w:t xml:space="preserve"> </w:t>
      </w:r>
      <w:r w:rsidR="00A46EBA">
        <w:rPr>
          <w:rFonts w:ascii="Palatino Linotype" w:eastAsiaTheme="minorEastAsia" w:hAnsi="Palatino Linotype" w:cs="Arial"/>
          <w:b/>
        </w:rPr>
        <w:t>Ayuntamiento de Rayón</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A46EBA" w:rsidRPr="00A46EBA" w:rsidRDefault="00A46EBA" w:rsidP="00A46EBA">
      <w:pPr>
        <w:pStyle w:val="Prrafodelista"/>
        <w:numPr>
          <w:ilvl w:val="0"/>
          <w:numId w:val="36"/>
        </w:numPr>
        <w:spacing w:before="240" w:after="240" w:line="360" w:lineRule="auto"/>
        <w:ind w:left="284" w:right="191"/>
        <w:contextualSpacing w:val="0"/>
        <w:jc w:val="both"/>
        <w:rPr>
          <w:rFonts w:ascii="Palatino Linotype" w:hAnsi="Palatino Linotype" w:cs="Arial"/>
          <w:sz w:val="24"/>
          <w:szCs w:val="24"/>
        </w:rPr>
      </w:pPr>
      <w:r w:rsidRPr="00A46EBA">
        <w:rPr>
          <w:rFonts w:ascii="Palatino Linotype" w:hAnsi="Palatino Linotype"/>
          <w:b/>
          <w:color w:val="000000"/>
          <w:sz w:val="24"/>
          <w:szCs w:val="24"/>
        </w:rPr>
        <w:t>Del mes de julio y agosto del dos mil dieciocho.</w:t>
      </w:r>
    </w:p>
    <w:p w:rsidR="00A46EBA" w:rsidRPr="00A46EBA" w:rsidRDefault="00A46EBA" w:rsidP="00A46EBA">
      <w:pPr>
        <w:pStyle w:val="Prrafodelista"/>
        <w:numPr>
          <w:ilvl w:val="0"/>
          <w:numId w:val="35"/>
        </w:numPr>
        <w:spacing w:before="240" w:after="240" w:line="360" w:lineRule="auto"/>
        <w:ind w:right="49"/>
        <w:contextualSpacing w:val="0"/>
        <w:jc w:val="both"/>
        <w:rPr>
          <w:rFonts w:ascii="Palatino Linotype" w:eastAsiaTheme="minorEastAsia" w:hAnsi="Palatino Linotype" w:cs="Bookman Old Style"/>
          <w:b/>
          <w:sz w:val="24"/>
          <w:szCs w:val="24"/>
        </w:rPr>
      </w:pPr>
      <w:r w:rsidRPr="00A46EBA">
        <w:rPr>
          <w:rFonts w:ascii="Palatino Linotype" w:hAnsi="Palatino Linotype"/>
          <w:b/>
          <w:color w:val="000000"/>
          <w:sz w:val="24"/>
          <w:szCs w:val="24"/>
        </w:rPr>
        <w:t>Nómina del personal, considerando trabajadores sindicalizados y de base.</w:t>
      </w:r>
    </w:p>
    <w:p w:rsidR="00A46EBA" w:rsidRPr="00A46EBA" w:rsidRDefault="00A46EBA" w:rsidP="00A46EBA">
      <w:pPr>
        <w:pStyle w:val="Prrafodelista"/>
        <w:numPr>
          <w:ilvl w:val="0"/>
          <w:numId w:val="35"/>
        </w:numPr>
        <w:spacing w:before="240" w:after="240" w:line="360" w:lineRule="auto"/>
        <w:ind w:right="49"/>
        <w:contextualSpacing w:val="0"/>
        <w:jc w:val="both"/>
        <w:rPr>
          <w:rFonts w:ascii="Palatino Linotype" w:eastAsiaTheme="minorEastAsia" w:hAnsi="Palatino Linotype" w:cs="Bookman Old Style"/>
          <w:b/>
          <w:sz w:val="24"/>
          <w:szCs w:val="24"/>
        </w:rPr>
      </w:pPr>
      <w:r w:rsidRPr="00A46EBA">
        <w:rPr>
          <w:rFonts w:ascii="Palatino Linotype" w:hAnsi="Palatino Linotype"/>
          <w:b/>
          <w:color w:val="000000"/>
          <w:sz w:val="24"/>
          <w:szCs w:val="24"/>
        </w:rPr>
        <w:t>Pagos efectuados al personal de lista de raya y contratado por honorarios.</w:t>
      </w:r>
    </w:p>
    <w:p w:rsidR="00A46EBA" w:rsidRPr="00A46EBA" w:rsidRDefault="00A46EBA" w:rsidP="00A46EBA">
      <w:pPr>
        <w:pStyle w:val="Prrafodelista"/>
        <w:numPr>
          <w:ilvl w:val="0"/>
          <w:numId w:val="36"/>
        </w:numPr>
        <w:spacing w:before="240" w:after="240" w:line="360" w:lineRule="auto"/>
        <w:ind w:left="0" w:right="49" w:hanging="11"/>
        <w:contextualSpacing w:val="0"/>
        <w:jc w:val="both"/>
        <w:rPr>
          <w:rFonts w:ascii="Palatino Linotype" w:eastAsiaTheme="minorEastAsia" w:hAnsi="Palatino Linotype" w:cs="Bookman Old Style"/>
          <w:b/>
          <w:sz w:val="24"/>
          <w:szCs w:val="24"/>
        </w:rPr>
      </w:pPr>
      <w:r w:rsidRPr="00A46EBA">
        <w:rPr>
          <w:rFonts w:ascii="Palatino Linotype" w:eastAsiaTheme="minorEastAsia" w:hAnsi="Palatino Linotype" w:cs="Bookman Old Style"/>
          <w:b/>
          <w:sz w:val="24"/>
          <w:szCs w:val="24"/>
        </w:rPr>
        <w:t>Del periodo comprendido del cinco de octubre de dos mil diecisiete al cinco de octubre de dos mil dieciocho.</w:t>
      </w:r>
    </w:p>
    <w:p w:rsidR="00A46EBA" w:rsidRPr="00A46EBA" w:rsidRDefault="00A46EBA" w:rsidP="00A46EBA">
      <w:pPr>
        <w:pStyle w:val="Prrafodelista"/>
        <w:numPr>
          <w:ilvl w:val="0"/>
          <w:numId w:val="35"/>
        </w:numPr>
        <w:spacing w:before="240" w:after="240" w:line="360" w:lineRule="auto"/>
        <w:ind w:right="49"/>
        <w:contextualSpacing w:val="0"/>
        <w:jc w:val="both"/>
        <w:rPr>
          <w:rFonts w:ascii="Palatino Linotype" w:eastAsiaTheme="minorEastAsia" w:hAnsi="Palatino Linotype" w:cs="Bookman Old Style"/>
          <w:b/>
          <w:sz w:val="24"/>
          <w:szCs w:val="24"/>
        </w:rPr>
      </w:pPr>
      <w:r w:rsidRPr="00A46EBA">
        <w:rPr>
          <w:rFonts w:ascii="Palatino Linotype" w:hAnsi="Palatino Linotype"/>
          <w:b/>
          <w:color w:val="000000"/>
          <w:sz w:val="24"/>
          <w:szCs w:val="24"/>
        </w:rPr>
        <w:t xml:space="preserve">Convocatorias y/o procesos de licitación de obra pública, con los dictámenes y consideraciones por las que se concedió la obra a cada una de las empresas que están realizando los trabajos en este municipio, número total de participantes de cada licitación y los parámetros considerados para su descarte. </w:t>
      </w:r>
    </w:p>
    <w:p w:rsidR="00A46EBA" w:rsidRPr="00A46EBA" w:rsidRDefault="00A46EBA" w:rsidP="00A46EBA">
      <w:pPr>
        <w:pStyle w:val="Prrafodelista"/>
        <w:numPr>
          <w:ilvl w:val="0"/>
          <w:numId w:val="35"/>
        </w:numPr>
        <w:spacing w:before="240" w:after="240" w:line="360" w:lineRule="auto"/>
        <w:ind w:right="49"/>
        <w:contextualSpacing w:val="0"/>
        <w:jc w:val="both"/>
        <w:rPr>
          <w:rFonts w:ascii="Palatino Linotype" w:eastAsiaTheme="minorEastAsia" w:hAnsi="Palatino Linotype" w:cs="Bookman Old Style"/>
          <w:b/>
          <w:sz w:val="24"/>
          <w:szCs w:val="24"/>
        </w:rPr>
      </w:pPr>
      <w:r w:rsidRPr="00A46EBA">
        <w:rPr>
          <w:rFonts w:ascii="Palatino Linotype" w:hAnsi="Palatino Linotype"/>
          <w:b/>
          <w:color w:val="000000"/>
          <w:sz w:val="24"/>
          <w:szCs w:val="24"/>
        </w:rPr>
        <w:t>Actas del COPLADEMUN.</w:t>
      </w:r>
    </w:p>
    <w:p w:rsidR="00A46EBA" w:rsidRPr="00A46EBA" w:rsidRDefault="00A46EBA" w:rsidP="00A46EBA">
      <w:pPr>
        <w:pStyle w:val="Prrafodelista"/>
        <w:numPr>
          <w:ilvl w:val="0"/>
          <w:numId w:val="35"/>
        </w:numPr>
        <w:spacing w:before="240" w:after="240" w:line="360" w:lineRule="auto"/>
        <w:ind w:right="49"/>
        <w:contextualSpacing w:val="0"/>
        <w:jc w:val="both"/>
        <w:rPr>
          <w:rFonts w:ascii="Palatino Linotype" w:eastAsiaTheme="minorEastAsia" w:hAnsi="Palatino Linotype" w:cs="Bookman Old Style"/>
          <w:b/>
          <w:sz w:val="24"/>
          <w:szCs w:val="24"/>
        </w:rPr>
      </w:pPr>
      <w:r w:rsidRPr="00A46EBA">
        <w:rPr>
          <w:rFonts w:ascii="Palatino Linotype" w:hAnsi="Palatino Linotype"/>
          <w:b/>
          <w:color w:val="000000"/>
          <w:sz w:val="24"/>
          <w:szCs w:val="24"/>
        </w:rPr>
        <w:t xml:space="preserve">Cambios de los integrantes del COPLADEMUN, que en su caso contenga las causas. </w:t>
      </w:r>
    </w:p>
    <w:p w:rsidR="00A46EBA" w:rsidRPr="00A46EBA" w:rsidRDefault="00A46EBA" w:rsidP="00A46EBA">
      <w:pPr>
        <w:tabs>
          <w:tab w:val="left" w:pos="8080"/>
        </w:tabs>
        <w:spacing w:after="120"/>
        <w:ind w:left="360"/>
        <w:jc w:val="both"/>
        <w:rPr>
          <w:rFonts w:ascii="Palatino Linotype" w:hAnsi="Palatino Linotype" w:cs="Arial"/>
          <w:i/>
          <w:sz w:val="24"/>
          <w:szCs w:val="24"/>
        </w:rPr>
      </w:pPr>
      <w:r w:rsidRPr="00A46EBA">
        <w:rPr>
          <w:rFonts w:ascii="Palatino Linotype" w:hAnsi="Palatino Linotype" w:cs="Arial"/>
          <w:i/>
          <w:sz w:val="24"/>
          <w:szCs w:val="24"/>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A46EBA">
        <w:rPr>
          <w:rFonts w:ascii="Palatino Linotype" w:hAnsi="Palatino Linotype" w:cs="Arial"/>
          <w:b/>
          <w:i/>
          <w:sz w:val="24"/>
          <w:szCs w:val="24"/>
        </w:rPr>
        <w:t>Recurrente</w:t>
      </w:r>
      <w:r w:rsidRPr="00A46EBA">
        <w:rPr>
          <w:rFonts w:ascii="Palatino Linotype" w:hAnsi="Palatino Linotype" w:cs="Arial"/>
          <w:i/>
          <w:sz w:val="24"/>
          <w:szCs w:val="24"/>
        </w:rPr>
        <w:t>.</w:t>
      </w:r>
    </w:p>
    <w:p w:rsidR="00A46EBA" w:rsidRDefault="00A46EBA" w:rsidP="00A46EBA">
      <w:pPr>
        <w:spacing w:before="240" w:after="240"/>
        <w:ind w:left="284"/>
        <w:jc w:val="both"/>
        <w:rPr>
          <w:rFonts w:ascii="Palatino Linotype" w:hAnsi="Palatino Linotype"/>
          <w:b/>
          <w:i/>
          <w:sz w:val="24"/>
          <w:szCs w:val="24"/>
        </w:rPr>
      </w:pPr>
      <w:r w:rsidRPr="00A46EBA">
        <w:rPr>
          <w:rFonts w:ascii="Palatino Linotype" w:hAnsi="Palatino Linotype"/>
          <w:i/>
          <w:sz w:val="24"/>
          <w:szCs w:val="24"/>
        </w:rPr>
        <w:t xml:space="preserve">En el supuesto de que no se haya generado la información relativa ordenada en los numerales 2 y 5, bastara con el sólo pronunciamiento del </w:t>
      </w:r>
      <w:r w:rsidRPr="00A46EBA">
        <w:rPr>
          <w:rFonts w:ascii="Palatino Linotype" w:hAnsi="Palatino Linotype"/>
          <w:b/>
          <w:i/>
          <w:sz w:val="24"/>
          <w:szCs w:val="24"/>
        </w:rPr>
        <w:t xml:space="preserve">Sujeto Obligado </w:t>
      </w:r>
      <w:r w:rsidRPr="00A46EBA">
        <w:rPr>
          <w:rFonts w:ascii="Palatino Linotype" w:hAnsi="Palatino Linotype"/>
          <w:i/>
          <w:sz w:val="24"/>
          <w:szCs w:val="24"/>
        </w:rPr>
        <w:t xml:space="preserve">para tener por colmado el requerimiento de información, mismo que deberá hacer del conocimiento del </w:t>
      </w:r>
      <w:r w:rsidRPr="00A46EBA">
        <w:rPr>
          <w:rFonts w:ascii="Palatino Linotype" w:hAnsi="Palatino Linotype"/>
          <w:b/>
          <w:i/>
          <w:sz w:val="24"/>
          <w:szCs w:val="24"/>
        </w:rPr>
        <w:t>Recurrente.</w:t>
      </w:r>
    </w:p>
    <w:p w:rsidR="00672D4A" w:rsidRPr="00A46EBA" w:rsidRDefault="00672D4A" w:rsidP="00A46EBA">
      <w:pPr>
        <w:spacing w:before="240" w:after="240"/>
        <w:ind w:left="284"/>
        <w:jc w:val="both"/>
        <w:rPr>
          <w:rFonts w:ascii="Palatino Linotype" w:hAnsi="Palatino Linotype"/>
          <w:b/>
          <w:i/>
          <w:sz w:val="24"/>
          <w:szCs w:val="24"/>
        </w:rPr>
      </w:pPr>
    </w:p>
    <w:p w:rsidR="00964E10" w:rsidRPr="00B259AE" w:rsidRDefault="00594E5C" w:rsidP="000D75B5">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BD63E7">
        <w:rPr>
          <w:rFonts w:ascii="Palatino Linotype" w:eastAsia="Times New Roman" w:hAnsi="Palatino Linotype" w:cs="Arial"/>
          <w:sz w:val="24"/>
        </w:rPr>
        <w:t xml:space="preserve"> </w:t>
      </w:r>
      <w:r w:rsidR="00672D4A">
        <w:rPr>
          <w:rFonts w:ascii="Palatino Linotype" w:eastAsia="Times New Roman" w:hAnsi="Palatino Linotype" w:cs="Arial"/>
          <w:sz w:val="24"/>
        </w:rPr>
        <w:t>los numerales 2 y 5</w:t>
      </w:r>
      <w:r w:rsidR="00871B60">
        <w:rPr>
          <w:rFonts w:ascii="Palatino Linotype" w:eastAsia="Times New Roman" w:hAnsi="Palatino Linotype" w:cs="Arial"/>
          <w:sz w:val="24"/>
        </w:rPr>
        <w:t>:</w:t>
      </w:r>
    </w:p>
    <w:p w:rsidR="00B259AE" w:rsidRDefault="00B259AE" w:rsidP="00B259AE">
      <w:pPr>
        <w:pStyle w:val="Prrafodelista"/>
        <w:spacing w:before="240" w:after="240" w:line="360" w:lineRule="auto"/>
        <w:ind w:left="0" w:right="49"/>
        <w:jc w:val="both"/>
        <w:rPr>
          <w:rFonts w:ascii="Palatino Linotype" w:eastAsia="Times New Roman" w:hAnsi="Palatino Linotype" w:cs="Arial"/>
          <w:i/>
          <w:sz w:val="24"/>
        </w:rPr>
      </w:pPr>
    </w:p>
    <w:p w:rsidR="00A46EBA" w:rsidRPr="00A46EBA" w:rsidRDefault="00A46EBA" w:rsidP="00A46EBA">
      <w:pPr>
        <w:spacing w:before="240" w:after="240"/>
        <w:ind w:left="284"/>
        <w:jc w:val="both"/>
        <w:rPr>
          <w:rFonts w:ascii="Palatino Linotype" w:hAnsi="Palatino Linotype"/>
          <w:b/>
          <w:i/>
          <w:sz w:val="24"/>
          <w:szCs w:val="24"/>
        </w:rPr>
      </w:pPr>
      <w:r w:rsidRPr="00A46EBA">
        <w:rPr>
          <w:rFonts w:ascii="Palatino Linotype" w:hAnsi="Palatino Linotype"/>
          <w:i/>
          <w:sz w:val="24"/>
          <w:szCs w:val="24"/>
        </w:rPr>
        <w:t xml:space="preserve">En el supuesto de que no se haya generado la información relativa ordenada en los numerales 2 y 5, bastara con el sólo pronunciamiento del </w:t>
      </w:r>
      <w:r w:rsidRPr="00A46EBA">
        <w:rPr>
          <w:rFonts w:ascii="Palatino Linotype" w:hAnsi="Palatino Linotype"/>
          <w:b/>
          <w:i/>
          <w:sz w:val="24"/>
          <w:szCs w:val="24"/>
        </w:rPr>
        <w:t xml:space="preserve">Sujeto Obligado </w:t>
      </w:r>
      <w:r w:rsidRPr="00A46EBA">
        <w:rPr>
          <w:rFonts w:ascii="Palatino Linotype" w:hAnsi="Palatino Linotype"/>
          <w:i/>
          <w:sz w:val="24"/>
          <w:szCs w:val="24"/>
        </w:rPr>
        <w:t xml:space="preserve">para tener por colmado el requerimiento de información, mismo que deberá hacer del conocimiento del </w:t>
      </w:r>
      <w:r w:rsidRPr="00A46EBA">
        <w:rPr>
          <w:rFonts w:ascii="Palatino Linotype" w:hAnsi="Palatino Linotype"/>
          <w:b/>
          <w:i/>
          <w:sz w:val="24"/>
          <w:szCs w:val="24"/>
        </w:rPr>
        <w:t>Recurrente.</w:t>
      </w:r>
    </w:p>
    <w:p w:rsidR="00D93A70" w:rsidRPr="007910FD" w:rsidRDefault="00D93A70" w:rsidP="00D93A70">
      <w:pPr>
        <w:pStyle w:val="Prrafodelista"/>
        <w:spacing w:before="240" w:after="240" w:line="360" w:lineRule="auto"/>
        <w:ind w:left="0" w:right="49"/>
        <w:jc w:val="both"/>
        <w:rPr>
          <w:rFonts w:ascii="Palatino Linotype" w:eastAsia="Times New Roman" w:hAnsi="Palatino Linotype" w:cs="Arial"/>
          <w:i/>
          <w:sz w:val="24"/>
        </w:rPr>
      </w:pPr>
    </w:p>
    <w:p w:rsidR="00C602B8" w:rsidRPr="00821BFF" w:rsidRDefault="00594E5C" w:rsidP="000921E9">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821BFF" w:rsidRPr="00C602B8" w:rsidRDefault="00821BFF" w:rsidP="00821BFF">
      <w:pPr>
        <w:pStyle w:val="Prrafodelista"/>
        <w:spacing w:before="240" w:after="240" w:line="360" w:lineRule="auto"/>
        <w:ind w:left="0" w:right="49"/>
        <w:jc w:val="both"/>
        <w:rPr>
          <w:rFonts w:ascii="Palatino Linotype" w:eastAsia="Times New Roman" w:hAnsi="Palatino Linotype" w:cs="Arial"/>
          <w:i/>
          <w:sz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255141"/>
      <w:r w:rsidRPr="00427B79">
        <w:rPr>
          <w:b/>
          <w:szCs w:val="24"/>
        </w:rPr>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255142"/>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principio, el término presunción se deriva de la voz latina </w:t>
      </w:r>
      <w:r w:rsidRPr="00B21F85">
        <w:rPr>
          <w:rFonts w:ascii="Palatino Linotype" w:hAnsi="Palatino Linotype"/>
          <w:i/>
          <w:sz w:val="24"/>
          <w:szCs w:val="24"/>
        </w:rPr>
        <w:t>“</w:t>
      </w:r>
      <w:proofErr w:type="spellStart"/>
      <w:r w:rsidRPr="00B21F85">
        <w:rPr>
          <w:rFonts w:ascii="Palatino Linotype" w:hAnsi="Palatino Linotype"/>
          <w:i/>
          <w:sz w:val="24"/>
          <w:szCs w:val="24"/>
        </w:rPr>
        <w:t>prae-sumere</w:t>
      </w:r>
      <w:proofErr w:type="spellEnd"/>
      <w:r w:rsidRPr="00B21F85">
        <w:rPr>
          <w:rFonts w:ascii="Palatino Linotype" w:hAnsi="Palatino Linotype"/>
          <w:i/>
          <w:sz w:val="24"/>
          <w:szCs w:val="24"/>
        </w:rPr>
        <w:t>”,</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14A34" w:rsidRPr="00314A34" w:rsidRDefault="00483418" w:rsidP="00CD53CB">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SUJETO OBLIGADO haga una explicación (motive y de ser el caso fundamente) adecuada de porque contando con esas facultades, competencias o funciones para generar, poseer o administrar la documentación solicitada no lo hizo.</w:t>
      </w:r>
    </w:p>
    <w:p w:rsidR="00314A34" w:rsidRDefault="00314A34" w:rsidP="00CD53CB">
      <w:pPr>
        <w:pStyle w:val="Ttulo1"/>
        <w:rPr>
          <w:rFonts w:eastAsia="Calibri"/>
          <w:color w:val="auto"/>
          <w:szCs w:val="24"/>
        </w:rPr>
      </w:pPr>
      <w:bookmarkStart w:id="5" w:name="_Toc255143"/>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-118111</wp:posOffset>
                </wp:positionH>
                <wp:positionV relativeFrom="paragraph">
                  <wp:posOffset>185419</wp:posOffset>
                </wp:positionV>
                <wp:extent cx="5534025" cy="37052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34025" cy="3705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85670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pt,14.6pt" to="426.45pt,3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" strokecolor="black [3213]" strokeweight=".5pt">
                <v:stroke joinstyle="miter"/>
              </v:line>
            </w:pict>
          </mc:Fallback>
        </mc:AlternateContent>
      </w:r>
      <w:bookmarkEnd w:id="5"/>
    </w:p>
    <w:p w:rsidR="00314A34" w:rsidRDefault="00314A34" w:rsidP="00CD53CB">
      <w:pPr>
        <w:pStyle w:val="Ttulo1"/>
        <w:rPr>
          <w:rFonts w:eastAsia="Calibri"/>
          <w:color w:val="auto"/>
          <w:szCs w:val="24"/>
        </w:rPr>
      </w:pPr>
    </w:p>
    <w:p w:rsidR="00314A34" w:rsidRDefault="00314A34" w:rsidP="00CD53CB">
      <w:pPr>
        <w:pStyle w:val="Ttulo1"/>
        <w:rPr>
          <w:rFonts w:eastAsia="Calibri"/>
          <w:color w:val="auto"/>
          <w:szCs w:val="24"/>
        </w:rPr>
      </w:pPr>
    </w:p>
    <w:p w:rsidR="00314A34" w:rsidRDefault="00314A34" w:rsidP="00CD53CB">
      <w:pPr>
        <w:pStyle w:val="Ttulo1"/>
        <w:rPr>
          <w:rFonts w:eastAsia="Calibri"/>
          <w:color w:val="auto"/>
          <w:szCs w:val="24"/>
        </w:rPr>
      </w:pPr>
    </w:p>
    <w:p w:rsidR="00314A34" w:rsidRDefault="00314A34" w:rsidP="00CD53CB">
      <w:pPr>
        <w:pStyle w:val="Ttulo1"/>
        <w:rPr>
          <w:rFonts w:eastAsia="Calibri"/>
          <w:color w:val="auto"/>
          <w:szCs w:val="24"/>
        </w:rPr>
      </w:pPr>
    </w:p>
    <w:p w:rsidR="00314A34" w:rsidRDefault="00314A34" w:rsidP="00CD53CB">
      <w:pPr>
        <w:pStyle w:val="Ttulo1"/>
        <w:rPr>
          <w:rFonts w:eastAsia="Calibri"/>
          <w:color w:val="auto"/>
          <w:szCs w:val="24"/>
        </w:rPr>
      </w:pPr>
    </w:p>
    <w:p w:rsidR="00314A34" w:rsidRDefault="00314A34" w:rsidP="00CD53CB">
      <w:pPr>
        <w:pStyle w:val="Ttulo1"/>
        <w:rPr>
          <w:rFonts w:eastAsia="Calibri"/>
          <w:color w:val="auto"/>
          <w:szCs w:val="24"/>
        </w:rPr>
      </w:pPr>
    </w:p>
    <w:p w:rsidR="00314A34" w:rsidRDefault="00314A34" w:rsidP="00314A34"/>
    <w:p w:rsidR="00314A34" w:rsidRPr="00314A34" w:rsidRDefault="00314A34" w:rsidP="00314A34"/>
    <w:p w:rsidR="00E6179D" w:rsidRPr="0083488C" w:rsidRDefault="00CD53CB" w:rsidP="00CD53CB">
      <w:pPr>
        <w:pStyle w:val="Ttulo1"/>
        <w:rPr>
          <w:rFonts w:eastAsia="Calibri"/>
          <w:szCs w:val="24"/>
        </w:rPr>
      </w:pPr>
      <w:bookmarkStart w:id="6" w:name="_Toc255144"/>
      <w:r>
        <w:rPr>
          <w:rFonts w:eastAsia="Calibri"/>
          <w:color w:val="auto"/>
          <w:szCs w:val="24"/>
        </w:rPr>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2650C2" w:rsidRDefault="002650C2" w:rsidP="00E6179D">
      <w:pPr>
        <w:rPr>
          <w:rFonts w:ascii="Palatino Linotype" w:hAnsi="Palatino Linotype"/>
          <w:color w:val="000000" w:themeColor="text1"/>
          <w:sz w:val="24"/>
          <w:szCs w:val="24"/>
        </w:rPr>
      </w:pPr>
    </w:p>
    <w:p w:rsidR="00FB6DF6" w:rsidRDefault="00FB6DF6" w:rsidP="00E6179D">
      <w:pPr>
        <w:rPr>
          <w:rFonts w:ascii="Palatino Linotype" w:hAnsi="Palatino Linotype"/>
          <w:color w:val="000000" w:themeColor="text1"/>
          <w:sz w:val="24"/>
          <w:szCs w:val="24"/>
        </w:rPr>
      </w:pPr>
      <w:bookmarkStart w:id="7" w:name="_GoBack"/>
      <w:bookmarkEnd w:id="7"/>
    </w:p>
    <w:p w:rsidR="007E57CC" w:rsidRDefault="007E57CC" w:rsidP="00E6179D">
      <w:pPr>
        <w:rPr>
          <w:rFonts w:ascii="Palatino Linotype" w:hAnsi="Palatino Linotype"/>
          <w:color w:val="000000" w:themeColor="text1"/>
          <w:sz w:val="24"/>
          <w:szCs w:val="24"/>
        </w:rPr>
      </w:pPr>
    </w:p>
    <w:p w:rsidR="007E57CC" w:rsidRDefault="007E57CC" w:rsidP="00E6179D">
      <w:pPr>
        <w:rPr>
          <w:rFonts w:ascii="Palatino Linotype" w:hAnsi="Palatino Linotype"/>
          <w:color w:val="000000" w:themeColor="text1"/>
          <w:sz w:val="24"/>
          <w:szCs w:val="24"/>
        </w:rPr>
      </w:pPr>
    </w:p>
    <w:p w:rsidR="007E57CC" w:rsidRDefault="007E57CC"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C01" w:rsidRDefault="005A5C01" w:rsidP="00E82D3D">
      <w:pPr>
        <w:spacing w:after="0" w:line="240" w:lineRule="auto"/>
      </w:pPr>
      <w:r>
        <w:separator/>
      </w:r>
    </w:p>
  </w:endnote>
  <w:endnote w:type="continuationSeparator" w:id="0">
    <w:p w:rsidR="005A5C01" w:rsidRDefault="005A5C01"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B6DF6">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B6DF6">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C01" w:rsidRDefault="005A5C01" w:rsidP="00E82D3D">
      <w:pPr>
        <w:spacing w:after="0" w:line="240" w:lineRule="auto"/>
      </w:pPr>
      <w:r>
        <w:separator/>
      </w:r>
    </w:p>
  </w:footnote>
  <w:footnote w:type="continuationSeparator" w:id="0">
    <w:p w:rsidR="005A5C01" w:rsidRDefault="005A5C01"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w:t>
      </w:r>
      <w:proofErr w:type="spellStart"/>
      <w:r>
        <w:t>pag</w:t>
      </w:r>
      <w:proofErr w:type="spellEnd"/>
      <w:r>
        <w:t xml:space="preserve">.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B6DF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B6DF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FB6DF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9">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26"/>
  </w:num>
  <w:num w:numId="3">
    <w:abstractNumId w:val="4"/>
  </w:num>
  <w:num w:numId="4">
    <w:abstractNumId w:val="32"/>
  </w:num>
  <w:num w:numId="5">
    <w:abstractNumId w:val="1"/>
  </w:num>
  <w:num w:numId="6">
    <w:abstractNumId w:val="2"/>
  </w:num>
  <w:num w:numId="7">
    <w:abstractNumId w:val="15"/>
  </w:num>
  <w:num w:numId="8">
    <w:abstractNumId w:val="20"/>
  </w:num>
  <w:num w:numId="9">
    <w:abstractNumId w:val="28"/>
  </w:num>
  <w:num w:numId="10">
    <w:abstractNumId w:val="18"/>
  </w:num>
  <w:num w:numId="11">
    <w:abstractNumId w:val="23"/>
  </w:num>
  <w:num w:numId="12">
    <w:abstractNumId w:val="9"/>
  </w:num>
  <w:num w:numId="13">
    <w:abstractNumId w:val="34"/>
  </w:num>
  <w:num w:numId="14">
    <w:abstractNumId w:val="33"/>
  </w:num>
  <w:num w:numId="15">
    <w:abstractNumId w:val="3"/>
  </w:num>
  <w:num w:numId="16">
    <w:abstractNumId w:val="14"/>
  </w:num>
  <w:num w:numId="17">
    <w:abstractNumId w:val="8"/>
  </w:num>
  <w:num w:numId="18">
    <w:abstractNumId w:val="10"/>
  </w:num>
  <w:num w:numId="19">
    <w:abstractNumId w:val="22"/>
  </w:num>
  <w:num w:numId="20">
    <w:abstractNumId w:val="7"/>
  </w:num>
  <w:num w:numId="21">
    <w:abstractNumId w:val="13"/>
  </w:num>
  <w:num w:numId="22">
    <w:abstractNumId w:val="30"/>
  </w:num>
  <w:num w:numId="23">
    <w:abstractNumId w:val="21"/>
  </w:num>
  <w:num w:numId="24">
    <w:abstractNumId w:val="5"/>
  </w:num>
  <w:num w:numId="25">
    <w:abstractNumId w:val="31"/>
  </w:num>
  <w:num w:numId="26">
    <w:abstractNumId w:val="24"/>
  </w:num>
  <w:num w:numId="27">
    <w:abstractNumId w:val="27"/>
  </w:num>
  <w:num w:numId="28">
    <w:abstractNumId w:val="19"/>
  </w:num>
  <w:num w:numId="29">
    <w:abstractNumId w:val="29"/>
  </w:num>
  <w:num w:numId="30">
    <w:abstractNumId w:val="35"/>
  </w:num>
  <w:num w:numId="31">
    <w:abstractNumId w:val="11"/>
  </w:num>
  <w:num w:numId="32">
    <w:abstractNumId w:val="0"/>
  </w:num>
  <w:num w:numId="33">
    <w:abstractNumId w:val="6"/>
  </w:num>
  <w:num w:numId="34">
    <w:abstractNumId w:val="12"/>
  </w:num>
  <w:num w:numId="35">
    <w:abstractNumId w:val="17"/>
  </w:num>
  <w:num w:numId="3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5E0E"/>
    <w:rsid w:val="0002788B"/>
    <w:rsid w:val="00033837"/>
    <w:rsid w:val="000354F0"/>
    <w:rsid w:val="0003648B"/>
    <w:rsid w:val="00046733"/>
    <w:rsid w:val="00047D47"/>
    <w:rsid w:val="00050071"/>
    <w:rsid w:val="00051010"/>
    <w:rsid w:val="0006430D"/>
    <w:rsid w:val="00064C7C"/>
    <w:rsid w:val="00075BC8"/>
    <w:rsid w:val="00077E58"/>
    <w:rsid w:val="00080138"/>
    <w:rsid w:val="00082116"/>
    <w:rsid w:val="00083196"/>
    <w:rsid w:val="000921E9"/>
    <w:rsid w:val="0009506C"/>
    <w:rsid w:val="000957D0"/>
    <w:rsid w:val="00096CC2"/>
    <w:rsid w:val="000A17C5"/>
    <w:rsid w:val="000B09D7"/>
    <w:rsid w:val="000B2BE4"/>
    <w:rsid w:val="000C57DB"/>
    <w:rsid w:val="000D3EE5"/>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A2E8D"/>
    <w:rsid w:val="002A3111"/>
    <w:rsid w:val="002A3E3F"/>
    <w:rsid w:val="002B1FE5"/>
    <w:rsid w:val="002B30C5"/>
    <w:rsid w:val="002B6741"/>
    <w:rsid w:val="002C0B0D"/>
    <w:rsid w:val="002C1A0B"/>
    <w:rsid w:val="002C4ACE"/>
    <w:rsid w:val="002D2F58"/>
    <w:rsid w:val="002D4033"/>
    <w:rsid w:val="002E3ED2"/>
    <w:rsid w:val="002E691F"/>
    <w:rsid w:val="002F79FF"/>
    <w:rsid w:val="00302CEB"/>
    <w:rsid w:val="00305CE0"/>
    <w:rsid w:val="00314A34"/>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7278"/>
    <w:rsid w:val="003E0648"/>
    <w:rsid w:val="003F0FAA"/>
    <w:rsid w:val="003F1617"/>
    <w:rsid w:val="003F3279"/>
    <w:rsid w:val="00401477"/>
    <w:rsid w:val="00410B42"/>
    <w:rsid w:val="0041189B"/>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B5385"/>
    <w:rsid w:val="004C57A6"/>
    <w:rsid w:val="004D772F"/>
    <w:rsid w:val="004F3ABB"/>
    <w:rsid w:val="004F4DA5"/>
    <w:rsid w:val="00501D40"/>
    <w:rsid w:val="00510EE4"/>
    <w:rsid w:val="00522308"/>
    <w:rsid w:val="0052306C"/>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5909"/>
    <w:rsid w:val="005D0118"/>
    <w:rsid w:val="005D0248"/>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A0BDD"/>
    <w:rsid w:val="006A3003"/>
    <w:rsid w:val="006B39ED"/>
    <w:rsid w:val="006C5E0D"/>
    <w:rsid w:val="006D3C8A"/>
    <w:rsid w:val="006E22C9"/>
    <w:rsid w:val="006F081D"/>
    <w:rsid w:val="006F0A01"/>
    <w:rsid w:val="007015AB"/>
    <w:rsid w:val="00715A51"/>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48FF"/>
    <w:rsid w:val="007E57CC"/>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72C3"/>
    <w:rsid w:val="00857FB4"/>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5937"/>
    <w:rsid w:val="00950BDB"/>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79E"/>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1F85"/>
    <w:rsid w:val="00B259AE"/>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63E7"/>
    <w:rsid w:val="00BF70DB"/>
    <w:rsid w:val="00C0383A"/>
    <w:rsid w:val="00C076A9"/>
    <w:rsid w:val="00C1158A"/>
    <w:rsid w:val="00C130B3"/>
    <w:rsid w:val="00C20869"/>
    <w:rsid w:val="00C25003"/>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07BF"/>
    <w:rsid w:val="00D31010"/>
    <w:rsid w:val="00D35B4C"/>
    <w:rsid w:val="00D36317"/>
    <w:rsid w:val="00D37ED5"/>
    <w:rsid w:val="00D40E34"/>
    <w:rsid w:val="00D51491"/>
    <w:rsid w:val="00D549C7"/>
    <w:rsid w:val="00D92BA5"/>
    <w:rsid w:val="00D93A70"/>
    <w:rsid w:val="00DA5A47"/>
    <w:rsid w:val="00DB39B5"/>
    <w:rsid w:val="00DB53B7"/>
    <w:rsid w:val="00DC4358"/>
    <w:rsid w:val="00DC792E"/>
    <w:rsid w:val="00DD14BB"/>
    <w:rsid w:val="00DE7A32"/>
    <w:rsid w:val="00DF018D"/>
    <w:rsid w:val="00DF782C"/>
    <w:rsid w:val="00E10CF1"/>
    <w:rsid w:val="00E15203"/>
    <w:rsid w:val="00E216B3"/>
    <w:rsid w:val="00E27554"/>
    <w:rsid w:val="00E27A90"/>
    <w:rsid w:val="00E317C2"/>
    <w:rsid w:val="00E350C4"/>
    <w:rsid w:val="00E3588D"/>
    <w:rsid w:val="00E41E1B"/>
    <w:rsid w:val="00E41E9C"/>
    <w:rsid w:val="00E42763"/>
    <w:rsid w:val="00E51DF4"/>
    <w:rsid w:val="00E535E4"/>
    <w:rsid w:val="00E61519"/>
    <w:rsid w:val="00E6179D"/>
    <w:rsid w:val="00E676E0"/>
    <w:rsid w:val="00E82D3D"/>
    <w:rsid w:val="00E93266"/>
    <w:rsid w:val="00E965B4"/>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333C8"/>
    <w:rsid w:val="00F41722"/>
    <w:rsid w:val="00F44EAA"/>
    <w:rsid w:val="00F665AF"/>
    <w:rsid w:val="00F72355"/>
    <w:rsid w:val="00F8373B"/>
    <w:rsid w:val="00F92E97"/>
    <w:rsid w:val="00FA6405"/>
    <w:rsid w:val="00FA79CE"/>
    <w:rsid w:val="00FB274F"/>
    <w:rsid w:val="00FB6DF6"/>
    <w:rsid w:val="00FC4706"/>
    <w:rsid w:val="00FC605B"/>
    <w:rsid w:val="00FD1FAD"/>
    <w:rsid w:val="00FD7AFA"/>
    <w:rsid w:val="00FE3088"/>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B7DE0-528B-4B76-B81C-224C947CB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29</Pages>
  <Words>5735</Words>
  <Characters>31546</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66</cp:revision>
  <cp:lastPrinted>2019-02-05T16:33:00Z</cp:lastPrinted>
  <dcterms:created xsi:type="dcterms:W3CDTF">2019-01-10T22:09:00Z</dcterms:created>
  <dcterms:modified xsi:type="dcterms:W3CDTF">2019-02-05T16:38:00Z</dcterms:modified>
</cp:coreProperties>
</file>